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airs-longitudinal-completed-exemplar-brd"/>
    <w:p>
      <w:pPr>
        <w:pStyle w:val="Heading1"/>
      </w:pPr>
      <w:r>
        <w:t xml:space="preserve">AIRS Longitudinal, Completed Exemplar BRD</w:t>
      </w:r>
    </w:p>
    <w:p>
      <w:pPr>
        <w:pStyle w:val="BlockText"/>
      </w:pPr>
      <w:r>
        <w:rPr>
          <w:b/>
          <w:bCs/>
        </w:rPr>
        <w:t xml:space="preserve">What this is</w:t>
      </w:r>
      <w:r>
        <w:t xml:space="preserve">: A fully authored research-grade BRD. Every section is filled in to the level of detail a real principal investigator would sign off on. It is the</w:t>
      </w:r>
      <w:r>
        <w:t xml:space="preserve"> </w:t>
      </w:r>
      <w:r>
        <w:rPr>
          <w:i/>
          <w:iCs/>
        </w:rPr>
        <w:t xml:space="preserve">finished state</w:t>
      </w:r>
      <w:r>
        <w:t xml:space="preserve"> </w:t>
      </w:r>
      <w:r>
        <w:t xml:space="preserve">a BRD reaches when the discipline has been applied end to end.</w:t>
      </w:r>
    </w:p>
    <w:p>
      <w:pPr>
        <w:pStyle w:val="BlockText"/>
      </w:pPr>
      <w:r>
        <w:rPr>
          <w:b/>
          <w:bCs/>
        </w:rPr>
        <w:t xml:space="preserve">How to use it</w:t>
      </w:r>
      <w:r>
        <w:t xml:space="preserve">: Read it as the worked example for what a complete BRD looks like before attempting the four starter exercises (</w:t>
      </w:r>
      <w:hyperlink r:id="rId9">
        <w:r>
          <w:rPr>
            <w:rStyle w:val="Hyperlink"/>
          </w:rPr>
          <w:t xml:space="preserve">CloudRevenue</w:t>
        </w:r>
      </w:hyperlink>
      <w:r>
        <w:t xml:space="preserve">,</w:t>
      </w:r>
      <w:r>
        <w:t xml:space="preserve"> </w:t>
      </w:r>
      <w:hyperlink r:id="rId10">
        <w:r>
          <w:rPr>
            <w:rStyle w:val="Hyperlink"/>
          </w:rPr>
          <w:t xml:space="preserve">M365Marketing</w:t>
        </w:r>
      </w:hyperlink>
      <w:r>
        <w:t xml:space="preserve">,</w:t>
      </w:r>
      <w:r>
        <w:t xml:space="preserve"> </w:t>
      </w:r>
      <w:hyperlink r:id="rId11">
        <w:r>
          <w:rPr>
            <w:rStyle w:val="Hyperlink"/>
          </w:rPr>
          <w:t xml:space="preserve">SupportInsights</w:t>
        </w:r>
      </w:hyperlink>
      <w:r>
        <w:t xml:space="preserve">,</w:t>
      </w:r>
      <w:r>
        <w:t xml:space="preserve"> </w:t>
      </w:r>
      <w:hyperlink r:id="rId12">
        <w:r>
          <w:rPr>
            <w:rStyle w:val="Hyperlink"/>
          </w:rPr>
          <w:t xml:space="preserve">EnterpriseGovernance</w:t>
        </w:r>
      </w:hyperlink>
      <w:r>
        <w:t xml:space="preserve">). The point is not to match this BRD field for field; it is to see what</w:t>
      </w:r>
      <w:r>
        <w:t xml:space="preserve"> </w:t>
      </w:r>
      <w:r>
        <w:rPr>
          <w:i/>
          <w:iCs/>
        </w:rPr>
        <w:t xml:space="preserve">done</w:t>
      </w:r>
      <w:r>
        <w:t xml:space="preserve"> </w:t>
      </w:r>
      <w:r>
        <w:t xml:space="preserve">looks like before you try to recognize</w:t>
      </w:r>
      <w:r>
        <w:t xml:space="preserve"> </w:t>
      </w:r>
      <w:r>
        <w:rPr>
          <w:i/>
          <w:iCs/>
        </w:rPr>
        <w:t xml:space="preserve">not yet done</w:t>
      </w:r>
      <w:r>
        <w:t xml:space="preserve"> </w:t>
      </w:r>
      <w:r>
        <w:t xml:space="preserve">in your own draft.</w:t>
      </w:r>
    </w:p>
    <w:bookmarkStart w:id="26" w:name="business-requirements-document"/>
    <w:p>
      <w:pPr>
        <w:pStyle w:val="Heading2"/>
      </w:pPr>
      <w:r>
        <w:t xml:space="preserve">Business Requirements Document</w:t>
      </w:r>
    </w:p>
    <w:bookmarkStart w:id="13" w:name="X372c0e4085732d23dd8a87a1c02babd6e410f09"/>
    <w:p>
      <w:pPr>
        <w:pStyle w:val="Heading3"/>
      </w:pPr>
      <w:r>
        <w:t xml:space="preserve">AIRS Longitudinal Study, Cohort Outcomes Dashboard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Project</w:t>
      </w:r>
      <w:r>
        <w:t xml:space="preserve">: Longitudinal outcomes dashboard for the AIRS (AI in Research Studies) cohort, supporting hypothesis testing across the Year 1 through Year 5 follow-up windows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Stakeholder</w:t>
      </w:r>
      <w:r>
        <w:t xml:space="preserve">: Research Principal Investigator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</w:t>
      </w:r>
      <w:r>
        <w:t xml:space="preserve">: 2026-04-12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Priority</w:t>
      </w:r>
      <w:r>
        <w:t xml:space="preserve">: High</w:t>
      </w:r>
    </w:p>
    <w:bookmarkEnd w:id="13"/>
    <w:bookmarkStart w:id="14" w:name="executive-summary"/>
    <w:p>
      <w:pPr>
        <w:pStyle w:val="Heading3"/>
      </w:pPr>
      <w:r>
        <w:t xml:space="preserve">1. Executive Summary</w:t>
      </w:r>
    </w:p>
    <w:p>
      <w:pPr>
        <w:pStyle w:val="FirstParagraph"/>
      </w:pPr>
      <w:r>
        <w:t xml:space="preserve">The AIRS Longitudinal Study tracks a cohort of 1,847 participants enrolled between 2021 and 2023, with planned follow-up at Years 1, 3, and 5 post-enrollment. This dashboard supports the principal investigator and the study’s senior research team in monitoring participant retention, evaluating outcome distributions across the four pre-registered hypotheses, and identifying subgroups that warrant deeper analysis before the Year 3 publication window closes. The dashboard is the operational artifact behind the planned 2026 publication submission and the routine quarterly investigator reviews that drive cohort-management decisions.</w:t>
      </w:r>
    </w:p>
    <w:bookmarkEnd w:id="14"/>
    <w:bookmarkStart w:id="15" w:name="business-context"/>
    <w:p>
      <w:pPr>
        <w:pStyle w:val="Heading3"/>
      </w:pPr>
      <w:r>
        <w:t xml:space="preserve">2. Business Context</w:t>
      </w:r>
    </w:p>
    <w:p>
      <w:pPr>
        <w:pStyle w:val="FirstParagraph"/>
      </w:pPr>
      <w:r>
        <w:t xml:space="preserve">The Year 3 follow-up window completed enrollment-side data collection in Q4 2025. The investigator team is preparing the primary publication for submission in Q3 2026 and requires a consolidated dashboard to support hypothesis testing, subgroup exploration, and the senior-author review process. Current tooling consists of disconnected R notebooks and spreadsheet pivots maintained by individual research assistants; the dashboard consolidates these into a single source of truth, removes the cross-RA reconciliation overhead, and standardizes the visualizations used in investigator meetings.</w:t>
      </w:r>
    </w:p>
    <w:bookmarkEnd w:id="15"/>
    <w:bookmarkStart w:id="16" w:name="key-business-questions"/>
    <w:p>
      <w:pPr>
        <w:pStyle w:val="Heading3"/>
      </w:pPr>
      <w:r>
        <w:t xml:space="preserve">3. Key Business Questions</w:t>
      </w:r>
    </w:p>
    <w:p>
      <w:pPr>
        <w:pStyle w:val="FirstParagraph"/>
      </w:pPr>
      <w:r>
        <w:rPr>
          <w:b/>
          <w:bCs/>
          <w:i/>
          <w:iCs/>
        </w:rPr>
        <w:t xml:space="preserve">Retention and cohort integrity</w:t>
      </w:r>
    </w:p>
    <w:p>
      <w:pPr>
        <w:pStyle w:val="Compact"/>
        <w:numPr>
          <w:ilvl w:val="0"/>
          <w:numId w:val="1002"/>
        </w:numPr>
      </w:pPr>
      <w:r>
        <w:t xml:space="preserve">What percentage of the Year 0 cohort completed the Year 3 follow-up assessment, broken down by enrollment site and by demographic stratum?</w:t>
      </w:r>
    </w:p>
    <w:p>
      <w:pPr>
        <w:pStyle w:val="Compact"/>
        <w:numPr>
          <w:ilvl w:val="0"/>
          <w:numId w:val="1002"/>
        </w:numPr>
      </w:pPr>
      <w:r>
        <w:t xml:space="preserve">Among participants lost to follow-up between Year 1 and Year 3, what is the distribution of last-known status (withdrew, unreachable, deceased, moved out of region)?</w:t>
      </w:r>
    </w:p>
    <w:p>
      <w:pPr>
        <w:pStyle w:val="FirstParagraph"/>
      </w:pPr>
      <w:r>
        <w:rPr>
          <w:b/>
          <w:bCs/>
          <w:i/>
          <w:iCs/>
        </w:rPr>
        <w:t xml:space="preserve">Pre-registered hypothesis testing</w:t>
      </w:r>
    </w:p>
    <w:p>
      <w:pPr>
        <w:pStyle w:val="Compact"/>
        <w:numPr>
          <w:ilvl w:val="0"/>
          <w:numId w:val="1003"/>
        </w:numPr>
      </w:pPr>
      <w:r>
        <w:t xml:space="preserve">For each of the four pre-registered hypotheses (H1–H4), what is the effect size in the Year 3 cohort, with 95% confidence intervals?</w:t>
      </w:r>
    </w:p>
    <w:p>
      <w:pPr>
        <w:pStyle w:val="Compact"/>
        <w:numPr>
          <w:ilvl w:val="0"/>
          <w:numId w:val="1003"/>
        </w:numPr>
      </w:pPr>
      <w:r>
        <w:t xml:space="preserve">Are the H1 and H2 effects robust to the planned sensitivity analyses (complete-case versus multiple-imputation; per-protocol versus intention-to-treat)?</w:t>
      </w:r>
    </w:p>
    <w:p>
      <w:pPr>
        <w:pStyle w:val="FirstParagraph"/>
      </w:pPr>
      <w:r>
        <w:rPr>
          <w:b/>
          <w:bCs/>
          <w:i/>
          <w:iCs/>
        </w:rPr>
        <w:t xml:space="preserve">Subgroup exploration (post-hoc, flagged as exploratory)</w:t>
      </w:r>
    </w:p>
    <w:p>
      <w:pPr>
        <w:pStyle w:val="Compact"/>
        <w:numPr>
          <w:ilvl w:val="0"/>
          <w:numId w:val="1004"/>
        </w:numPr>
      </w:pPr>
      <w:r>
        <w:t xml:space="preserve">Does the H1 effect vary across the three pre-specified subgroups (enrollment cohort year; baseline severity tertile; site type)?</w:t>
      </w:r>
    </w:p>
    <w:p>
      <w:pPr>
        <w:pStyle w:val="Compact"/>
        <w:numPr>
          <w:ilvl w:val="0"/>
          <w:numId w:val="1004"/>
        </w:numPr>
      </w:pPr>
      <w:r>
        <w:t xml:space="preserve">Are there interaction effects between H2 and H3 that warrant a separate exploratory analysis in the discussion section?</w:t>
      </w:r>
    </w:p>
    <w:bookmarkEnd w:id="16"/>
    <w:bookmarkStart w:id="17" w:name="success-criteria"/>
    <w:p>
      <w:pPr>
        <w:pStyle w:val="Heading3"/>
      </w:pPr>
      <w:r>
        <w:t xml:space="preserve">4. Success Criteria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Criterion</w:t>
            </w:r>
          </w:p>
        </w:tc>
        <w:tc>
          <w:tcPr/>
          <w:p>
            <w:pPr>
              <w:pStyle w:val="Compac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Publication-readiness</w:t>
            </w:r>
          </w:p>
        </w:tc>
        <w:tc>
          <w:tcPr/>
          <w:p>
            <w:pPr>
              <w:pStyle w:val="Compact"/>
            </w:pPr>
            <w:r>
              <w:t xml:space="preserve">All Table 1 (cohort characteristics), Table 2 (primary outcomes), and Table 3 (sensitivity analyses) values in the planned publication can be reproduced from the dashboard with one click each. PI confirms reproducibility against the analysis statistician’s R output.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Investigator-meeting cadence</w:t>
            </w:r>
          </w:p>
        </w:tc>
        <w:tc>
          <w:tcPr/>
          <w:p>
            <w:pPr>
              <w:pStyle w:val="Compact"/>
            </w:pPr>
            <w:r>
              <w:t xml:space="preserve">The dashboard is the primary visual artifact in the quarterly investigator review meetings, replacing the prior practice of slide compilation. Confirmed by zero slide-prep hours in the two meetings following deployment.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Subgroup-exploration speed</w:t>
            </w:r>
          </w:p>
        </w:tc>
        <w:tc>
          <w:tcPr/>
          <w:p>
            <w:pPr>
              <w:pStyle w:val="Compact"/>
            </w:pPr>
            <w:r>
              <w:t xml:space="preserve">A senior investigator can filter to a pre-specified subgroup and see all primary-outcome panels updated within three seconds. Tested against deuteranopia-simulated views to confirm color-encoded subgroup distinctions remain accessible.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Audit trail</w:t>
            </w:r>
          </w:p>
        </w:tc>
        <w:tc>
          <w:tcPr/>
          <w:p>
            <w:pPr>
              <w:pStyle w:val="Compact"/>
            </w:pPr>
            <w:r>
              <w:t xml:space="preserve">Every value displayed has a one-click drill-through to the underlying participant-level rows (with PHI redacted at the display layer). Confirmed by the data-governance officer’s spot-check of ten randomly selected display values.</w:t>
            </w:r>
          </w:p>
        </w:tc>
      </w:tr>
    </w:tbl>
    <w:bookmarkEnd w:id="17"/>
    <w:bookmarkStart w:id="20" w:name="stakeholder-requirements"/>
    <w:p>
      <w:pPr>
        <w:pStyle w:val="Heading3"/>
      </w:pPr>
      <w:r>
        <w:t xml:space="preserve">5. Stakeholder Requirements</w:t>
      </w:r>
    </w:p>
    <w:bookmarkStart w:id="18" w:name="primary-users"/>
    <w:p>
      <w:pPr>
        <w:pStyle w:val="Heading4"/>
      </w:pPr>
      <w:r>
        <w:t xml:space="preserve">Primary Users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Principal Investigator</w:t>
      </w:r>
      <w:r>
        <w:t xml:space="preserve">: Daily use during the publication-prep window (Q2–Q3 2026); weekly otherwise. Uses the dashboard for hypothesis-test result review, subgroup exploration, and publication-table reproduction.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Senior Investigators (n=4)</w:t>
      </w:r>
      <w:r>
        <w:t xml:space="preserve">: Weekly use during the publication-prep window. Use the dashboard during the quarterly investigator review meetings and for independent verification of hypothesis-test results before approving the manuscript draft.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Analysis Statistician</w:t>
      </w:r>
      <w:r>
        <w:t xml:space="preserve">: Bi-weekly use. Uses the dashboard to verify that the published values match the R analysis output; identifies discrepancies for reconciliation.</w:t>
      </w:r>
    </w:p>
    <w:bookmarkEnd w:id="18"/>
    <w:bookmarkStart w:id="19" w:name="secondary-users"/>
    <w:p>
      <w:pPr>
        <w:pStyle w:val="Heading4"/>
      </w:pPr>
      <w:r>
        <w:t xml:space="preserve">Secondary Users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Research Coordinators (n=3)</w:t>
      </w:r>
      <w:r>
        <w:t xml:space="preserve">: Monthly use. Reference the retention dashboards for cohort-management discussions; do not use the hypothesis-testing surfaces.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Data Governance Officer</w:t>
      </w:r>
      <w:r>
        <w:t xml:space="preserve">: Quarterly use. References the audit-trail surface during the standing data-governance review.</w:t>
      </w:r>
    </w:p>
    <w:bookmarkEnd w:id="19"/>
    <w:bookmarkEnd w:id="20"/>
    <w:bookmarkStart w:id="21" w:name="data-requirements"/>
    <w:p>
      <w:pPr>
        <w:pStyle w:val="Heading3"/>
      </w:pPr>
      <w:r>
        <w:t xml:space="preserve">6. Data Requirements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Requirement</w:t>
            </w:r>
          </w:p>
        </w:tc>
        <w:tc>
          <w:tcPr/>
          <w:p>
            <w:pPr>
              <w:pStyle w:val="Compact"/>
            </w:pPr>
            <w:r>
              <w:t xml:space="preserve">Detail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 Sources</w:t>
            </w:r>
          </w:p>
        </w:tc>
        <w:tc>
          <w:tcPr/>
          <w:p>
            <w:pPr>
              <w:pStyle w:val="Compact"/>
            </w:pPr>
            <w:r>
              <w:t xml:space="preserve">(1) AIRS REDCap study database (participant-level outcomes, Years 0–3); (2) AIRS enrollment and consent ledger (REDCap); (3) site-level enrollment registry (Excel, maintained by the lead research coordinator); (4) externally-linked vital-status registry (quarterly extract, restricted access)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Refresh Frequency</w:t>
            </w:r>
          </w:p>
        </w:tc>
        <w:tc>
          <w:tcPr/>
          <w:p>
            <w:pPr>
              <w:pStyle w:val="Compact"/>
            </w:pPr>
            <w:r>
              <w:t xml:space="preserve">Daily refresh during the publication-prep window (Q2–Q3 2026); weekly otherwise. The vital-status extract refreshes quarterly with the registry’s release cadence.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Historical Horizon</w:t>
            </w:r>
          </w:p>
        </w:tc>
        <w:tc>
          <w:tcPr/>
          <w:p>
            <w:pPr>
              <w:pStyle w:val="Compact"/>
            </w:pPr>
            <w:r>
              <w:t xml:space="preserve">Full study horizon: enrollment date forward through current Year 3 follow-up window. Year 5 follow-up data will extend the horizon as it arrives (planned 2027–2028).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 Sensitivity</w:t>
            </w:r>
          </w:p>
        </w:tc>
        <w:tc>
          <w:tcPr/>
          <w:p>
            <w:pPr>
              <w:pStyle w:val="Compact"/>
            </w:pPr>
            <w:r>
              <w:t xml:space="preserve">Restricted. Contains PHI (date of birth, enrollment site, outcome assessments). PHI is masked at the display layer; only the underlying participant-level drill-through (gated to PI + Analysis Statistician roles) reveals identifiable fields. Display-layer aggregations are de-identified per the study’s HIPAA Safe Harbor implementation.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Known Quality Issues</w:t>
            </w:r>
          </w:p>
        </w:tc>
        <w:tc>
          <w:tcPr/>
          <w:p>
            <w:pPr>
              <w:pStyle w:val="Compact"/>
            </w:pPr>
            <w:r>
              <w:t xml:space="preserve">Site 4 enrolled later (2023 vs the cohort baseline 2021–2022) and has thinner Year 3 follow-up density; flag in cohort-characteristics tables. The vital-status registry has a 60-day lag for newly-deceased participants; flag the lag in the retention panels.</w:t>
            </w:r>
          </w:p>
        </w:tc>
      </w:tr>
    </w:tbl>
    <w:bookmarkEnd w:id="21"/>
    <w:bookmarkStart w:id="22" w:name="deliverables"/>
    <w:p>
      <w:pPr>
        <w:pStyle w:val="Heading3"/>
      </w:pPr>
      <w:r>
        <w:t xml:space="preserve">7. Deliverables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Detail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Power BI workspace with three reports: (1) Cohort Integrity, (2) Primary Hypothesis Testing, (3) Subgroup Exploration. Each report has an associated dataset with row-level security gating PHI access to PI + Analysis Statistician roles.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Access Method</w:t>
            </w:r>
          </w:p>
        </w:tc>
        <w:tc>
          <w:tcPr/>
          <w:p>
            <w:pPr>
              <w:pStyle w:val="Compact"/>
            </w:pPr>
            <w:r>
              <w:t xml:space="preserve">Power BI Service, deployed to the AIRS Research workspace. Investigators access via direct workspace membership; research coordinators access via a published app with the PHI surfaces hidden.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Mobile Required</w:t>
            </w:r>
          </w:p>
        </w:tc>
        <w:tc>
          <w:tcPr/>
          <w:p>
            <w:pPr>
              <w:pStyle w:val="Compact"/>
            </w:pPr>
            <w:r>
              <w:t xml:space="preserve">No. Investigator review uses laptop or desktop only. Mobile view explicitly deferred to a future iteration.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Target Go-Live</w:t>
            </w:r>
          </w:p>
        </w:tc>
        <w:tc>
          <w:tcPr/>
          <w:p>
            <w:pPr>
              <w:pStyle w:val="Compact"/>
            </w:pPr>
            <w:r>
              <w:t xml:space="preserve">2026-05-15 (six weeks before the planned manuscript-draft circulation date)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Review Cadence</w:t>
            </w:r>
          </w:p>
        </w:tc>
        <w:tc>
          <w:tcPr/>
          <w:p>
            <w:pPr>
              <w:pStyle w:val="Compact"/>
            </w:pPr>
            <w:r>
              <w:t xml:space="preserve">Quarterly investigator review (replaces prior slide-based meeting format). Dashboard reviewed against the manuscript Table 1–3 values at each pre-submission checkpoint.</w:t>
            </w:r>
          </w:p>
        </w:tc>
      </w:tr>
    </w:tbl>
    <w:bookmarkEnd w:id="22"/>
    <w:bookmarkStart w:id="23" w:name="constraints-assumptions"/>
    <w:p>
      <w:pPr>
        <w:pStyle w:val="Heading3"/>
      </w:pPr>
      <w:r>
        <w:t xml:space="preserve">8. Constraints &amp; Assumptions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Constraint</w:t>
      </w:r>
      <w:r>
        <w:t xml:space="preserve">: All PHI display rules must be reviewed and signed off by the Data Governance Officer before deployment to the AIRS Research workspace.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Constraint</w:t>
      </w:r>
      <w:r>
        <w:t xml:space="preserve">: The dashboard cannot expose the externally-linked vital-status registry to any user outside the PI + Analysis Statistician roles; the registry’s data-use agreement requires named-individual access logging.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Constraint</w:t>
      </w:r>
      <w:r>
        <w:t xml:space="preserve">: The dashboard must support reproducibility of all values that appear in the planned publication; any disagreement between the dashboard and the analysis statistician’s R output is a release blocker.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Assumption</w:t>
      </w:r>
      <w:r>
        <w:t xml:space="preserve">: Site 4’s thinner Year 3 follow-up density will not invalidate the primary hypothesis tests; sensitivity analyses (with and without Site 4) will be reported in the manuscript supplement.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Assumption</w:t>
      </w:r>
      <w:r>
        <w:t xml:space="preserve">: The Year 5 follow-up data will extend the existing dashboard schema rather than requiring a separate report; the schema is designed to accept additional time-window columns.</w:t>
      </w:r>
    </w:p>
    <w:bookmarkEnd w:id="23"/>
    <w:bookmarkStart w:id="24" w:name="research-ethics-study-specific-extension"/>
    <w:p>
      <w:pPr>
        <w:pStyle w:val="Heading3"/>
      </w:pPr>
      <w:r>
        <w:t xml:space="preserve">9. Research Ethics (study-specific extension)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Detail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IRB protocol</w:t>
            </w:r>
          </w:p>
        </w:tc>
        <w:tc>
          <w:tcPr/>
          <w:p>
            <w:pPr>
              <w:pStyle w:val="Compact"/>
            </w:pPr>
            <w:r>
              <w:t xml:space="preserve">AIRS Protocol v4.2, approved 2026-01-08, valid through 2027-01-08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 Use Agreement</w:t>
            </w:r>
          </w:p>
        </w:tc>
        <w:tc>
          <w:tcPr/>
          <w:p>
            <w:pPr>
              <w:pStyle w:val="Compact"/>
            </w:pPr>
            <w:r>
              <w:t xml:space="preserve">DUA-2023-AIRS-VS for vital-status linkage (named-individual access log required; quarterly compliance review)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PHI handling</w:t>
            </w:r>
          </w:p>
        </w:tc>
        <w:tc>
          <w:tcPr/>
          <w:p>
            <w:pPr>
              <w:pStyle w:val="Compact"/>
            </w:pPr>
            <w:r>
              <w:t xml:space="preserve">HIPAA Safe Harbor de-identification at display layer; participant-level drill-through restricted to PI + Analysis Statistician via row-level security; access logged via Power BI audit trail; logs reviewed quarterly by Data Governance Officer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Publication ethics</w:t>
            </w:r>
          </w:p>
        </w:tc>
        <w:tc>
          <w:tcPr/>
          <w:p>
            <w:pPr>
              <w:pStyle w:val="Compact"/>
            </w:pPr>
            <w:r>
              <w:t xml:space="preserve">All exploratory subgroup analyses are flagged as post-hoc in both the dashboard surface and the manuscript; pre-registered hypotheses (H1–H4) are reported regardless of result direction; null results receive identical visual treatment to positive results</w:t>
            </w:r>
          </w:p>
        </w:tc>
      </w:tr>
    </w:tbl>
    <w:bookmarkEnd w:id="24"/>
    <w:bookmarkStart w:id="25" w:name="approval"/>
    <w:p>
      <w:pPr>
        <w:pStyle w:val="Heading3"/>
      </w:pPr>
      <w:r>
        <w:t xml:space="preserve">Approval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Signature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Principal Investigator</w:t>
            </w:r>
          </w:p>
        </w:tc>
        <w:tc>
          <w:tcPr/>
          <w:p>
            <w:pPr>
              <w:pStyle w:val="Compact"/>
            </w:pPr>
            <w:r>
              <w:t xml:space="preserve">[PI Name]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Senior Investigator (analytic lead)</w:t>
            </w:r>
          </w:p>
        </w:tc>
        <w:tc>
          <w:tcPr/>
          <w:p>
            <w:pPr>
              <w:pStyle w:val="Compact"/>
            </w:pPr>
            <w:r>
              <w:t xml:space="preserve">[Sr. Investigator Name]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Analysis Statistician</w:t>
            </w:r>
          </w:p>
        </w:tc>
        <w:tc>
          <w:tcPr/>
          <w:p>
            <w:pPr>
              <w:pStyle w:val="Compact"/>
            </w:pPr>
            <w:r>
              <w:t xml:space="preserve">[Statistician Name]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Data Governance Officer</w:t>
            </w:r>
          </w:p>
        </w:tc>
        <w:tc>
          <w:tcPr/>
          <w:p>
            <w:pPr>
              <w:pStyle w:val="Compact"/>
            </w:pPr>
            <w:r>
              <w:t xml:space="preserve">[DGO Name]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Lead Analyst (BRD author)</w:t>
            </w:r>
          </w:p>
        </w:tc>
        <w:tc>
          <w:tcPr/>
          <w:p>
            <w:pPr>
              <w:pStyle w:val="Compact"/>
            </w:pPr>
            <w:r>
              <w:t xml:space="preserve">[Analyst Name]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Source</w:t>
      </w:r>
      <w:r>
        <w:t xml:space="preserve">: Adapted from Appendix E §</w:t>
      </w:r>
      <w:r>
        <w:t xml:space="preserve"> </w:t>
      </w:r>
      <w:r>
        <w:t xml:space="preserve">“The reference BRDs”</w:t>
      </w:r>
      <w:r>
        <w:t xml:space="preserve"> </w:t>
      </w:r>
      <w:r>
        <w:t xml:space="preserve">of</w:t>
      </w:r>
      <w:r>
        <w:t xml:space="preserve"> </w:t>
      </w:r>
      <w:r>
        <w:rPr>
          <w:i/>
          <w:iCs/>
        </w:rPr>
        <w:t xml:space="preserve">The Defensible Decision</w:t>
      </w:r>
      <w:r>
        <w:t xml:space="preserve">. The AIRS dataset is the completed exemplar; the four starter BRDs (</w:t>
      </w:r>
      <w:hyperlink r:id="rId9">
        <w:r>
          <w:rPr>
            <w:rStyle w:val="Hyperlink"/>
          </w:rPr>
          <w:t xml:space="preserve">CloudRevenue</w:t>
        </w:r>
      </w:hyperlink>
      <w:r>
        <w:t xml:space="preserve">,</w:t>
      </w:r>
      <w:r>
        <w:t xml:space="preserve"> </w:t>
      </w:r>
      <w:hyperlink r:id="rId10">
        <w:r>
          <w:rPr>
            <w:rStyle w:val="Hyperlink"/>
          </w:rPr>
          <w:t xml:space="preserve">M365Marketing</w:t>
        </w:r>
      </w:hyperlink>
      <w:r>
        <w:t xml:space="preserve">,</w:t>
      </w:r>
      <w:r>
        <w:t xml:space="preserve"> </w:t>
      </w:r>
      <w:hyperlink r:id="rId11">
        <w:r>
          <w:rPr>
            <w:rStyle w:val="Hyperlink"/>
          </w:rPr>
          <w:t xml:space="preserve">SupportInsights</w:t>
        </w:r>
      </w:hyperlink>
      <w:r>
        <w:t xml:space="preserve">,</w:t>
      </w:r>
      <w:r>
        <w:t xml:space="preserve"> </w:t>
      </w:r>
      <w:hyperlink r:id="rId12">
        <w:r>
          <w:rPr>
            <w:rStyle w:val="Hyperlink"/>
          </w:rPr>
          <w:t xml:space="preserve">EnterpriseGovernance</w:t>
        </w:r>
      </w:hyperlink>
      <w:r>
        <w:t xml:space="preserve">) ship with Sections 1–3 in place and Sections 4–8 left for the reader to complete using the transcript-driven elicitation loop.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cloudrevenue-starter.md" TargetMode="External" /><Relationship Type="http://schemas.openxmlformats.org/officeDocument/2006/relationships/hyperlink" Id="rId12" Target="enterprisegovernance-starter.md" TargetMode="External" /><Relationship Type="http://schemas.openxmlformats.org/officeDocument/2006/relationships/hyperlink" Id="rId10" Target="m365marketing-starter.md" TargetMode="External" /><Relationship Type="http://schemas.openxmlformats.org/officeDocument/2006/relationships/hyperlink" Id="rId11" Target="supportinsights-starter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cloudrevenue-starter.md" TargetMode="External" /><Relationship Type="http://schemas.openxmlformats.org/officeDocument/2006/relationships/hyperlink" Id="rId12" Target="enterprisegovernance-starter.md" TargetMode="External" /><Relationship Type="http://schemas.openxmlformats.org/officeDocument/2006/relationships/hyperlink" Id="rId10" Target="m365marketing-starter.md" TargetMode="External" /><Relationship Type="http://schemas.openxmlformats.org/officeDocument/2006/relationships/hyperlink" Id="rId11" Target="supportinsights-starter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2026-07-08T22:06:25Z</dcterms:created>
  <dcterms:modified xsi:type="dcterms:W3CDTF">2026-07-08T22:06:25Z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